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44"/>
        <w:gridCol w:w="5635"/>
        <w:gridCol w:w="1180"/>
        <w:gridCol w:w="2162"/>
        <w:gridCol w:w="1950"/>
        <w:gridCol w:w="1038"/>
      </w:tblGrid>
      <w:tr w14:paraId="3D13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4F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附件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3EB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37A92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2F3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226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C3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1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02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2024年中秋、国庆期间监督检查发现问题线索台账</w:t>
            </w:r>
            <w:bookmarkEnd w:id="0"/>
          </w:p>
        </w:tc>
      </w:tr>
      <w:tr w14:paraId="3894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5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问题线索摘要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问题分类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监督检查</w:t>
            </w:r>
          </w:p>
          <w:p w14:paraId="7557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发现时间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A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4CA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E05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95A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F65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1E8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D39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D61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9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DE5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F35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BF24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2DD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DE8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EF1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414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86C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304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6AB6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5A4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18F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F131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F7C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F2E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1E0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343E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BD9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F93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C719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672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00E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652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29CC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B7A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97A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5C2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C0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4A2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AD4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02F2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3A8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AD4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C1D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651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543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BC8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88FC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F74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35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06CA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2E4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42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5"/>
                <w:lang w:val="en-US" w:eastAsia="zh-CN" w:bidi="ar"/>
              </w:rPr>
              <w:t>1.问题类型包括：形式主义、官僚主义和享乐主义、奢靡之风；2.备注：重点就问题表现进行说明，如，违规接受宴请、违规收受礼品礼金等。</w:t>
            </w:r>
          </w:p>
        </w:tc>
      </w:tr>
    </w:tbl>
    <w:p w14:paraId="2F5EBB11"/>
    <w:sectPr>
      <w:pgSz w:w="16838" w:h="11906" w:orient="landscape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ODllYTk4MjM2N2U4NzFiYWFkMWU4ZGYwOTAyMWMifQ=="/>
  </w:docVars>
  <w:rsids>
    <w:rsidRoot w:val="2BE74A82"/>
    <w:rsid w:val="2BE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5">
    <w:name w:val="font151"/>
    <w:basedOn w:val="3"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2024-09-10T08:50:00Z</dcterms:created>
  <dc:creator>z</dc:creator>
  <cp:lastModifiedBy>z</cp:lastModifiedBy>
  <dcterms:modified xsi:type="dcterms:W3CDTF">2024-09-10T08:51:04Z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AD29C554DEE142A78674A5D8DC697969_11</vt:lpwstr>
  </property>
</Properties>
</file>